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6804"/>
      </w:tblGrid>
      <w:tr w:rsidR="00697250" w:rsidTr="005F5F07">
        <w:trPr>
          <w:trHeight w:val="699"/>
        </w:trPr>
        <w:tc>
          <w:tcPr>
            <w:tcW w:w="988" w:type="dxa"/>
            <w:shd w:val="clear" w:color="auto" w:fill="D9D9D9" w:themeFill="background1" w:themeFillShade="D9"/>
          </w:tcPr>
          <w:p w:rsidR="00697250" w:rsidRPr="00694682" w:rsidRDefault="00697250" w:rsidP="0069725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94682">
              <w:rPr>
                <w:sz w:val="20"/>
                <w:szCs w:val="20"/>
              </w:rPr>
              <w:t xml:space="preserve">ČÍSLO </w:t>
            </w:r>
            <w:r>
              <w:rPr>
                <w:sz w:val="20"/>
                <w:szCs w:val="20"/>
              </w:rPr>
              <w:t>TÉMATU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697250" w:rsidRPr="00694682" w:rsidRDefault="00697250" w:rsidP="00C452EE">
            <w:pPr>
              <w:rPr>
                <w:sz w:val="20"/>
                <w:szCs w:val="20"/>
              </w:rPr>
            </w:pPr>
            <w:r w:rsidRPr="00694682">
              <w:rPr>
                <w:sz w:val="20"/>
                <w:szCs w:val="20"/>
              </w:rPr>
              <w:t>NÁZEV</w:t>
            </w:r>
          </w:p>
          <w:p w:rsidR="00697250" w:rsidRDefault="00697250" w:rsidP="00C452EE">
            <w:pPr>
              <w:rPr>
                <w:b/>
              </w:rPr>
            </w:pPr>
          </w:p>
          <w:p w:rsidR="00697250" w:rsidRPr="00F80A84" w:rsidRDefault="00697250" w:rsidP="00355D21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697250" w:rsidRPr="00F80A84" w:rsidRDefault="00697250" w:rsidP="00C452EE">
            <w:pPr>
              <w:rPr>
                <w:b/>
                <w:color w:val="0070C0"/>
                <w:sz w:val="26"/>
                <w:szCs w:val="26"/>
              </w:rPr>
            </w:pPr>
            <w:r w:rsidRPr="00694682">
              <w:rPr>
                <w:sz w:val="20"/>
                <w:szCs w:val="20"/>
              </w:rPr>
              <w:t>POZNÁMKA</w:t>
            </w:r>
          </w:p>
        </w:tc>
      </w:tr>
      <w:tr w:rsidR="00697250" w:rsidTr="005F5F07">
        <w:tc>
          <w:tcPr>
            <w:tcW w:w="988" w:type="dxa"/>
          </w:tcPr>
          <w:p w:rsidR="00697250" w:rsidRDefault="00697250" w:rsidP="00C452EE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697250" w:rsidRPr="00F80A84" w:rsidRDefault="00697250" w:rsidP="00694682">
            <w:pPr>
              <w:rPr>
                <w:b/>
                <w:color w:val="0070C0"/>
                <w:sz w:val="26"/>
                <w:szCs w:val="26"/>
              </w:rPr>
            </w:pPr>
            <w:r w:rsidRPr="00697250">
              <w:rPr>
                <w:b/>
                <w:color w:val="0070C0"/>
                <w:sz w:val="26"/>
                <w:szCs w:val="26"/>
              </w:rPr>
              <w:t>Výčet vybraných staveb – systémová definice vs. příloha</w:t>
            </w:r>
            <w:r>
              <w:rPr>
                <w:b/>
                <w:color w:val="0070C0"/>
                <w:sz w:val="26"/>
                <w:szCs w:val="26"/>
              </w:rPr>
              <w:t xml:space="preserve"> s definicí konkrétních staveb</w:t>
            </w:r>
          </w:p>
          <w:p w:rsidR="00697250" w:rsidRPr="00F80A84" w:rsidRDefault="00697250" w:rsidP="00C452EE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7250" w:rsidRPr="00697250" w:rsidRDefault="00697250" w:rsidP="004E35FB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4E35FB">
              <w:rPr>
                <w:b/>
              </w:rPr>
              <w:t xml:space="preserve">Mnoho </w:t>
            </w:r>
            <w:r w:rsidR="00F31BF0" w:rsidRPr="004E35FB">
              <w:rPr>
                <w:b/>
              </w:rPr>
              <w:t xml:space="preserve">zcela protichůdných </w:t>
            </w:r>
            <w:r w:rsidRPr="004E35FB">
              <w:rPr>
                <w:b/>
              </w:rPr>
              <w:t>návrhů na změnu / doplnění</w:t>
            </w:r>
            <w:r w:rsidRPr="00697250">
              <w:t xml:space="preserve"> a rozšíření přílohy (hrozba samostatných PN, obtížn</w:t>
            </w:r>
            <w:r w:rsidR="00F31BF0">
              <w:t>ý proces hledání shody na výsledném výčtu staveb</w:t>
            </w:r>
            <w:r w:rsidRPr="00697250">
              <w:t>)</w:t>
            </w:r>
          </w:p>
          <w:p w:rsidR="00697250" w:rsidRDefault="00697250" w:rsidP="004E35FB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697250">
              <w:t xml:space="preserve">Požadavek </w:t>
            </w:r>
            <w:r w:rsidR="007A668E">
              <w:t xml:space="preserve">některých poslanců </w:t>
            </w:r>
            <w:r w:rsidRPr="00697250">
              <w:t>na absolutní minimalizaci rozsahu zahrnutých staveb</w:t>
            </w:r>
          </w:p>
          <w:p w:rsidR="00F31BF0" w:rsidRPr="00697250" w:rsidRDefault="00F31BF0" w:rsidP="004E35FB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Obava ohledně ústavní konformity konkrétního výčtu staveb stanoveného zákonodárcem</w:t>
            </w:r>
            <w:r w:rsidR="00AC593E">
              <w:t>.</w:t>
            </w:r>
            <w:r>
              <w:t xml:space="preserve"> </w:t>
            </w:r>
          </w:p>
          <w:p w:rsidR="00AC593E" w:rsidRDefault="00697250" w:rsidP="004E35FB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4E35FB">
              <w:rPr>
                <w:b/>
              </w:rPr>
              <w:t xml:space="preserve">MD </w:t>
            </w:r>
            <w:r w:rsidR="00783E4F">
              <w:rPr>
                <w:b/>
              </w:rPr>
              <w:t xml:space="preserve">z odborného hlediska </w:t>
            </w:r>
            <w:r w:rsidRPr="004E35FB">
              <w:rPr>
                <w:b/>
              </w:rPr>
              <w:t xml:space="preserve">považuje stále za vhodnější </w:t>
            </w:r>
            <w:r w:rsidR="00C006C5" w:rsidRPr="004E35FB">
              <w:rPr>
                <w:b/>
              </w:rPr>
              <w:t>nezavádět v příloze zákona zvláštní výčet staveb</w:t>
            </w:r>
            <w:r w:rsidR="00C006C5">
              <w:t xml:space="preserve"> a místo toho počítat a) se stávající působností zákona, jež je již </w:t>
            </w:r>
            <w:r w:rsidR="00BD7A8B">
              <w:t xml:space="preserve">dnes </w:t>
            </w:r>
            <w:r w:rsidR="00C006C5">
              <w:t xml:space="preserve">omezena dle § 1 odst. 2 na nejvýznamnější stavby dopravní infrastruktury </w:t>
            </w:r>
            <w:r w:rsidRPr="00697250">
              <w:t>(</w:t>
            </w:r>
            <w:r w:rsidR="00C006C5">
              <w:t xml:space="preserve">zejména </w:t>
            </w:r>
            <w:r w:rsidRPr="00697250">
              <w:t>dálnice, silnice I. třídy</w:t>
            </w:r>
            <w:r w:rsidR="00C006C5">
              <w:t xml:space="preserve"> a</w:t>
            </w:r>
            <w:r w:rsidRPr="00697250">
              <w:t xml:space="preserve"> celostátní železnice)</w:t>
            </w:r>
            <w:r w:rsidR="00C006C5">
              <w:t xml:space="preserve">, b) se zúženým druhovým výčtem staveb, jenž by odkazoval na některé pododstavce § 1 odst. 2 zákona nebo c) s výčtem </w:t>
            </w:r>
            <w:r w:rsidR="00AC593E">
              <w:t>staveb</w:t>
            </w:r>
            <w:r w:rsidR="00C006C5">
              <w:t xml:space="preserve"> transparentně vymezeným </w:t>
            </w:r>
            <w:r w:rsidR="00AC593E">
              <w:t xml:space="preserve">Evropským parlamentem a Radou </w:t>
            </w:r>
            <w:r w:rsidR="00C006C5">
              <w:t>v přímo použitelné</w:t>
            </w:r>
            <w:r w:rsidR="00AC593E">
              <w:t>m</w:t>
            </w:r>
            <w:r w:rsidR="00C006C5">
              <w:t xml:space="preserve"> předpisu</w:t>
            </w:r>
            <w:r w:rsidR="00AC593E">
              <w:t>, jenž definuje transevropskou dopravní síť</w:t>
            </w:r>
            <w:r w:rsidRPr="00697250">
              <w:t xml:space="preserve">. </w:t>
            </w:r>
          </w:p>
          <w:p w:rsidR="00697250" w:rsidRPr="004E35FB" w:rsidRDefault="004E35FB" w:rsidP="00783E4F">
            <w:pPr>
              <w:ind w:left="360"/>
              <w:jc w:val="both"/>
            </w:pPr>
            <w:r>
              <w:t>Navíc, bude-li právní úprava předběžné držby nahrazena právní úpravou mezitímního rozhodnutí, klíčový důvod, pro nějž se jmenovitý výčet staveb doposud zvažoval, odpadne (viz další bod).</w:t>
            </w:r>
          </w:p>
        </w:tc>
      </w:tr>
      <w:tr w:rsidR="00697250" w:rsidTr="005F5F07">
        <w:tc>
          <w:tcPr>
            <w:tcW w:w="988" w:type="dxa"/>
          </w:tcPr>
          <w:p w:rsidR="00697250" w:rsidRDefault="00697250" w:rsidP="00C452EE">
            <w:pPr>
              <w:jc w:val="both"/>
              <w:rPr>
                <w:b/>
              </w:rPr>
            </w:pPr>
            <w:r w:rsidRPr="00920431">
              <w:rPr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697250" w:rsidRPr="00F80A84" w:rsidRDefault="00697250" w:rsidP="00C452EE">
            <w:pPr>
              <w:rPr>
                <w:b/>
                <w:color w:val="0070C0"/>
                <w:sz w:val="26"/>
                <w:szCs w:val="26"/>
              </w:rPr>
            </w:pPr>
            <w:r w:rsidRPr="00697250">
              <w:rPr>
                <w:b/>
                <w:color w:val="0070C0"/>
                <w:sz w:val="26"/>
                <w:szCs w:val="26"/>
              </w:rPr>
              <w:t>Předběžná držba / Mezitímní rozhodnutí</w:t>
            </w:r>
          </w:p>
          <w:p w:rsidR="00697250" w:rsidRDefault="00697250" w:rsidP="00C452EE">
            <w:pPr>
              <w:rPr>
                <w:b/>
                <w:sz w:val="26"/>
                <w:szCs w:val="26"/>
              </w:rPr>
            </w:pPr>
          </w:p>
          <w:p w:rsidR="00697250" w:rsidRPr="00522491" w:rsidRDefault="00697250" w:rsidP="00C452EE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697250" w:rsidRPr="006C014C" w:rsidRDefault="00697250" w:rsidP="004E35FB">
            <w:pPr>
              <w:pStyle w:val="Odstavecseseznamem"/>
              <w:ind w:left="36"/>
              <w:jc w:val="both"/>
            </w:pPr>
            <w:r w:rsidRPr="004E35FB">
              <w:rPr>
                <w:b/>
              </w:rPr>
              <w:t xml:space="preserve">MD, MMR i MPO, stejně jako ARI a SPS podporují na základě proběhnuvších jednání variantu </w:t>
            </w:r>
            <w:r w:rsidR="00AC593E" w:rsidRPr="004E35FB">
              <w:rPr>
                <w:b/>
              </w:rPr>
              <w:t xml:space="preserve">právní úpravy </w:t>
            </w:r>
            <w:r w:rsidRPr="004E35FB">
              <w:rPr>
                <w:b/>
              </w:rPr>
              <w:t>MEZITÍMNÍHO ROZHODNUTÍ</w:t>
            </w:r>
            <w:r w:rsidR="006C014C" w:rsidRPr="006C014C">
              <w:t>, tedy předpokládá se předložení PN, který modifikuje v návrhu obsaženou předběžnou držbu na mezitímní rozhodnutí.</w:t>
            </w:r>
          </w:p>
          <w:p w:rsidR="00697250" w:rsidRPr="004E35FB" w:rsidRDefault="00E864A7" w:rsidP="007A668E">
            <w:pPr>
              <w:pStyle w:val="Odstavecseseznamem"/>
              <w:ind w:left="36"/>
              <w:jc w:val="both"/>
              <w:rPr>
                <w:b/>
                <w:sz w:val="26"/>
                <w:szCs w:val="26"/>
              </w:rPr>
            </w:pPr>
            <w:r w:rsidRPr="00E864A7">
              <w:t xml:space="preserve">Mezitímní rozhodnutí přitom představuje institut upravený správním řádem, jehož využitím odpadá potřeba konstrukce </w:t>
            </w:r>
            <w:r>
              <w:t>zcela nového</w:t>
            </w:r>
            <w:r w:rsidRPr="00E864A7">
              <w:t xml:space="preserve"> procesního postupu složitě vtěleného do rámce vyvlastňovacího řízení, jenž navíc zakládal dvojí soudní přezkum (přezkum uvedení v předběžnou držbu a přezkum meritorního rozhodnutí o vyvlastnění). Právní úprava mezitímního rozhodnutí představuje šetrnější zásah do práv dotčených </w:t>
            </w:r>
            <w:r w:rsidRPr="00E864A7">
              <w:lastRenderedPageBreak/>
              <w:t xml:space="preserve">osob, který předpokládá, že práce na realizaci dopravní infrastruktury budou navazovat na pravomocné (a případně soudy potvrzené) správní rozhodnutí o vyvlastnění.  </w:t>
            </w:r>
          </w:p>
        </w:tc>
      </w:tr>
      <w:tr w:rsidR="00FA68A9" w:rsidTr="005F5F07">
        <w:tc>
          <w:tcPr>
            <w:tcW w:w="988" w:type="dxa"/>
          </w:tcPr>
          <w:p w:rsidR="00FA68A9" w:rsidRDefault="00FA68A9" w:rsidP="00FA68A9">
            <w:pPr>
              <w:spacing w:after="240"/>
              <w:jc w:val="both"/>
              <w:rPr>
                <w:b/>
                <w:color w:val="0070C0"/>
                <w:sz w:val="26"/>
                <w:szCs w:val="26"/>
              </w:rPr>
            </w:pPr>
            <w:r w:rsidRPr="00200DAF">
              <w:rPr>
                <w:b/>
                <w:color w:val="0070C0"/>
                <w:sz w:val="26"/>
                <w:szCs w:val="26"/>
              </w:rPr>
              <w:lastRenderedPageBreak/>
              <w:t>3</w:t>
            </w:r>
          </w:p>
          <w:p w:rsidR="00FA68A9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520" w:type="dxa"/>
          </w:tcPr>
          <w:p w:rsidR="00FA68A9" w:rsidRPr="006C014C" w:rsidRDefault="00FA68A9" w:rsidP="00FA68A9">
            <w:pPr>
              <w:rPr>
                <w:color w:val="0070C0"/>
                <w:sz w:val="26"/>
                <w:szCs w:val="26"/>
              </w:rPr>
            </w:pPr>
            <w:r w:rsidRPr="006C014C">
              <w:rPr>
                <w:b/>
                <w:color w:val="0070C0"/>
                <w:sz w:val="26"/>
                <w:szCs w:val="26"/>
              </w:rPr>
              <w:t>Doručování písemností</w:t>
            </w:r>
          </w:p>
          <w:p w:rsidR="00FA68A9" w:rsidRPr="006C014C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</w:p>
          <w:p w:rsidR="00FA68A9" w:rsidRPr="005F5F07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FA68A9" w:rsidRPr="005F5F07" w:rsidDel="00E864A7" w:rsidRDefault="00FA68A9" w:rsidP="000D308D">
            <w:pPr>
              <w:jc w:val="both"/>
            </w:pPr>
            <w:r w:rsidRPr="006C014C">
              <w:t xml:space="preserve">Bude připraven PN, který zjednoduší doručování v rámci řízení </w:t>
            </w:r>
            <w:r w:rsidR="000D308D">
              <w:t xml:space="preserve">s velkým počtem účastníků </w:t>
            </w:r>
            <w:r w:rsidRPr="006C014C">
              <w:t>(první oznámení o zahájení řízení adresně, další doručování již jen veřejnou vyhláškou), budou stanovena zpřesněná pravidla pro stanovování opatrovníků u osob zemřelých.</w:t>
            </w:r>
          </w:p>
        </w:tc>
      </w:tr>
      <w:tr w:rsidR="00FA68A9" w:rsidTr="005F5F07">
        <w:tc>
          <w:tcPr>
            <w:tcW w:w="988" w:type="dxa"/>
          </w:tcPr>
          <w:p w:rsidR="00FA68A9" w:rsidRDefault="004E35FB" w:rsidP="00FA68A9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FA68A9" w:rsidRPr="006C014C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  <w:r w:rsidRPr="006C014C">
              <w:rPr>
                <w:b/>
                <w:color w:val="0070C0"/>
                <w:sz w:val="26"/>
                <w:szCs w:val="26"/>
              </w:rPr>
              <w:t>Provozní škody</w:t>
            </w:r>
          </w:p>
          <w:p w:rsidR="00FA68A9" w:rsidRPr="006C014C" w:rsidRDefault="00FA68A9" w:rsidP="00FA68A9">
            <w:pPr>
              <w:jc w:val="both"/>
            </w:pPr>
          </w:p>
          <w:p w:rsidR="00FA68A9" w:rsidRPr="005F5F07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FA68A9" w:rsidRPr="005F5F07" w:rsidDel="00E864A7" w:rsidRDefault="00FA68A9" w:rsidP="00944BAF">
            <w:pPr>
              <w:jc w:val="both"/>
            </w:pPr>
            <w:r w:rsidRPr="006C014C">
              <w:t xml:space="preserve">Připravovaným PN bude usnadněno předávání majetku (staveb a pozemků), který je v rámci stavby hlavní vybudován jako náhrada provozní škody (např. náhrada přerušené polní cesty jinou polní cestou). Cílem PN je umožnit přímé předání takto </w:t>
            </w:r>
            <w:r w:rsidR="000D308D">
              <w:t>vybudované nebo přeložené pozemní komunikace</w:t>
            </w:r>
            <w:r w:rsidR="00944BAF">
              <w:t xml:space="preserve"> včetně pozemků, na nichž je zřízena,</w:t>
            </w:r>
            <w:r w:rsidR="000D308D">
              <w:t xml:space="preserve"> jejímu původnímu vlastníkovi</w:t>
            </w:r>
            <w:r w:rsidR="00944BAF">
              <w:t xml:space="preserve"> bez složitých postupů vyžadovaných zákonem </w:t>
            </w:r>
            <w:r>
              <w:t>č. 219/2000 Sb., ve znění účinném od 1.</w:t>
            </w:r>
            <w:r w:rsidR="00944BAF">
              <w:t xml:space="preserve"> </w:t>
            </w:r>
            <w:r>
              <w:t>1.</w:t>
            </w:r>
            <w:r w:rsidR="00944BAF">
              <w:t xml:space="preserve"> </w:t>
            </w:r>
            <w:r>
              <w:t>2014.</w:t>
            </w:r>
          </w:p>
        </w:tc>
      </w:tr>
      <w:tr w:rsidR="00FA68A9" w:rsidTr="005F5F07">
        <w:tc>
          <w:tcPr>
            <w:tcW w:w="988" w:type="dxa"/>
          </w:tcPr>
          <w:p w:rsidR="00FA68A9" w:rsidRDefault="004E35FB" w:rsidP="00FA68A9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FA68A9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>Administrativní zjednodušení procesu při vyjímání ze ZPF</w:t>
            </w:r>
          </w:p>
          <w:p w:rsidR="00FA68A9" w:rsidRPr="005F5F07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FA68A9" w:rsidRPr="005F5F07" w:rsidDel="00E864A7" w:rsidRDefault="00FA68A9" w:rsidP="00FA68A9">
            <w:pPr>
              <w:jc w:val="both"/>
            </w:pPr>
            <w:r w:rsidRPr="006C014C">
              <w:t>Připravovaným PN se sníží byrokratická zátěž při vynímání půdy ze ZPF, žádost o vynětí na dopravní stavby bude možné podávat na příslušný úřad přímo dle rozsahu zamýšleného odnětí (dnes se musí podat na nejnižší úřad a následně putuje dlouhou dobu na nadřízené úřady).</w:t>
            </w:r>
          </w:p>
        </w:tc>
      </w:tr>
      <w:tr w:rsidR="00FA68A9" w:rsidTr="005F5F07">
        <w:tc>
          <w:tcPr>
            <w:tcW w:w="988" w:type="dxa"/>
          </w:tcPr>
          <w:p w:rsidR="00FA68A9" w:rsidRPr="002A2DBD" w:rsidRDefault="004E35FB" w:rsidP="00FA68A9">
            <w:pPr>
              <w:rPr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FA68A9" w:rsidRPr="00355D21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>Možnost výkupu nad záborový elaborát</w:t>
            </w:r>
          </w:p>
          <w:p w:rsidR="00FA68A9" w:rsidRPr="005F5F07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</w:p>
          <w:p w:rsidR="00FA68A9" w:rsidRPr="005F5F07" w:rsidRDefault="00FA68A9" w:rsidP="00FA68A9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FA68A9" w:rsidRPr="005F5F07" w:rsidRDefault="00FA68A9" w:rsidP="004E35FB">
            <w:pPr>
              <w:jc w:val="both"/>
            </w:pPr>
            <w:r>
              <w:t xml:space="preserve">Explicitně bude umožněn zvýhodněný výkup práva k pozemkům a stavbám, které nejsou nezbytné k dosažení účelu vyvlastnění, avšak vyvlastňovaný je nemůže bez vyvlastňovaného pozemku či stavby užívat vůbec nebo jen s nepřiměřenými obtížemi.   </w:t>
            </w:r>
          </w:p>
        </w:tc>
      </w:tr>
      <w:tr w:rsidR="00855F3D" w:rsidTr="005F5F07">
        <w:tc>
          <w:tcPr>
            <w:tcW w:w="988" w:type="dxa"/>
          </w:tcPr>
          <w:p w:rsidR="00855F3D" w:rsidRDefault="004E35FB" w:rsidP="00855F3D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855F3D" w:rsidRPr="00355D21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 xml:space="preserve">Výpovědi nájemních a </w:t>
            </w:r>
            <w:proofErr w:type="spellStart"/>
            <w:r w:rsidRPr="005F5F07">
              <w:rPr>
                <w:b/>
                <w:color w:val="0070C0"/>
                <w:sz w:val="26"/>
                <w:szCs w:val="26"/>
              </w:rPr>
              <w:t>pachtovních</w:t>
            </w:r>
            <w:proofErr w:type="spellEnd"/>
            <w:r w:rsidRPr="005F5F07">
              <w:rPr>
                <w:b/>
                <w:color w:val="0070C0"/>
                <w:sz w:val="26"/>
                <w:szCs w:val="26"/>
              </w:rPr>
              <w:t xml:space="preserve"> smluv</w:t>
            </w:r>
          </w:p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855F3D" w:rsidRPr="005F5F07" w:rsidDel="00E864A7" w:rsidRDefault="00855F3D" w:rsidP="00855F3D">
            <w:pPr>
              <w:jc w:val="both"/>
            </w:pPr>
            <w:r w:rsidRPr="005F5F07">
              <w:t xml:space="preserve">Zamýšleným PN je navrhována speciální úprava vůči Občanskému zákoníku tak, aby se mohla zkrátit na potřebnou dobu výpovědní lhůta z nájemních a </w:t>
            </w:r>
            <w:proofErr w:type="spellStart"/>
            <w:r w:rsidRPr="005F5F07">
              <w:t>pachtovních</w:t>
            </w:r>
            <w:proofErr w:type="spellEnd"/>
            <w:r w:rsidRPr="005F5F07">
              <w:t xml:space="preserve"> smluv a aby takto uzavřené smlouvy nebránily zahájení stavby.</w:t>
            </w:r>
          </w:p>
        </w:tc>
      </w:tr>
      <w:tr w:rsidR="00855F3D" w:rsidTr="005F5F07">
        <w:tc>
          <w:tcPr>
            <w:tcW w:w="988" w:type="dxa"/>
          </w:tcPr>
          <w:p w:rsidR="00855F3D" w:rsidRDefault="004E35FB" w:rsidP="00855F3D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>§ 3b odst. 2 – zpřesnění pro vypracování znaleckých posudků</w:t>
            </w:r>
          </w:p>
        </w:tc>
        <w:tc>
          <w:tcPr>
            <w:tcW w:w="6804" w:type="dxa"/>
          </w:tcPr>
          <w:p w:rsidR="00855F3D" w:rsidRPr="005F5F07" w:rsidDel="00E864A7" w:rsidRDefault="00855F3D" w:rsidP="00855F3D">
            <w:pPr>
              <w:jc w:val="both"/>
            </w:pPr>
            <w:r w:rsidRPr="005F5F07">
              <w:t xml:space="preserve">Připravovaný PN cílí na zpřesnění textace zákona pro vypracování znaleckých posudků, aniž by věcně měnil </w:t>
            </w:r>
            <w:proofErr w:type="spellStart"/>
            <w:r w:rsidRPr="005F5F07">
              <w:t>zaúžívanou</w:t>
            </w:r>
            <w:proofErr w:type="spellEnd"/>
            <w:r w:rsidRPr="005F5F07">
              <w:t xml:space="preserve"> praxi posledních dvou let.</w:t>
            </w:r>
            <w:r w:rsidR="0037666B">
              <w:t xml:space="preserve"> Nutné změnu provést shodně i v zákoně o vyvlastnění</w:t>
            </w:r>
            <w:r w:rsidR="004E35FB">
              <w:t xml:space="preserve"> (projednání s MMR)</w:t>
            </w:r>
            <w:r w:rsidR="0037666B">
              <w:t>.</w:t>
            </w:r>
          </w:p>
        </w:tc>
      </w:tr>
      <w:tr w:rsidR="00855F3D" w:rsidTr="005F5F07">
        <w:tc>
          <w:tcPr>
            <w:tcW w:w="988" w:type="dxa"/>
          </w:tcPr>
          <w:p w:rsidR="00855F3D" w:rsidRDefault="004E35FB" w:rsidP="00855F3D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>§ 3d – Směna pozemků</w:t>
            </w:r>
          </w:p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855F3D" w:rsidRPr="005F5F07" w:rsidDel="00E864A7" w:rsidRDefault="00855F3D" w:rsidP="00855F3D">
            <w:pPr>
              <w:jc w:val="both"/>
            </w:pPr>
            <w:r w:rsidRPr="005F5F07">
              <w:t xml:space="preserve">Připravovaný PN cílí na změnu textace stanovující podmínky pro možnost směny pozemků, neboť současné znění zákona se ukázalo v praxi jen jako </w:t>
            </w:r>
            <w:r w:rsidRPr="005F5F07">
              <w:lastRenderedPageBreak/>
              <w:t>obtížně využitelné a požadavky na směny jsou mnohdy blokačními pro možnost dokončení majetkoprávní přípravy.</w:t>
            </w:r>
          </w:p>
        </w:tc>
      </w:tr>
      <w:tr w:rsidR="00855F3D" w:rsidTr="005F5F07">
        <w:tc>
          <w:tcPr>
            <w:tcW w:w="988" w:type="dxa"/>
          </w:tcPr>
          <w:p w:rsidR="00855F3D" w:rsidRDefault="004E35FB" w:rsidP="00855F3D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lastRenderedPageBreak/>
              <w:t>10</w:t>
            </w:r>
          </w:p>
        </w:tc>
        <w:tc>
          <w:tcPr>
            <w:tcW w:w="6520" w:type="dxa"/>
          </w:tcPr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 xml:space="preserve">Řešení souběhu postupů dle zákona č. 416/2009 Sb. A zákona o majetku státu. </w:t>
            </w:r>
          </w:p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855F3D" w:rsidRPr="005F5F07" w:rsidDel="00E864A7" w:rsidRDefault="00855F3D" w:rsidP="00944BAF">
            <w:pPr>
              <w:jc w:val="both"/>
            </w:pPr>
            <w:r w:rsidRPr="005F5F07">
              <w:t>Připravovaný PN cílí na snížení byrokratické zátěže při majetkoprávní přípravě</w:t>
            </w:r>
            <w:r w:rsidR="00944BAF">
              <w:t xml:space="preserve"> staveb dopravní infrastruktury a jeho podstatou je upuštění od povinnosti získávat výjimky a souhlasy podle zákona</w:t>
            </w:r>
            <w:r w:rsidRPr="005F5F07">
              <w:t xml:space="preserve"> č. 219/2000 Sb., o majetku státu.</w:t>
            </w:r>
          </w:p>
        </w:tc>
      </w:tr>
      <w:tr w:rsidR="00855F3D" w:rsidTr="005F5F07">
        <w:tc>
          <w:tcPr>
            <w:tcW w:w="988" w:type="dxa"/>
          </w:tcPr>
          <w:p w:rsidR="00855F3D" w:rsidRDefault="004E35FB" w:rsidP="00855F3D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11</w:t>
            </w:r>
          </w:p>
        </w:tc>
        <w:tc>
          <w:tcPr>
            <w:tcW w:w="6520" w:type="dxa"/>
          </w:tcPr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>Výklad splnění podmínky pro vyvlastnění – nemožnost dosažení dohody</w:t>
            </w:r>
          </w:p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855F3D" w:rsidRPr="005F5F07" w:rsidDel="00E864A7" w:rsidRDefault="00855F3D" w:rsidP="00855F3D">
            <w:pPr>
              <w:jc w:val="both"/>
            </w:pPr>
            <w:r w:rsidRPr="005F5F07">
              <w:t xml:space="preserve">Připravovaný PN cílí na </w:t>
            </w:r>
            <w:r w:rsidRPr="004E35FB">
              <w:rPr>
                <w:b/>
              </w:rPr>
              <w:t>zpřesnění podmínek, kdy vyvlastňovací úřad musí mít nezpochybnitelně na jisto postavenu skutečnost, že se má za to, že dohody se nepodařilo dosáhnout</w:t>
            </w:r>
            <w:r w:rsidRPr="005F5F07">
              <w:t>. Pokud majitel pozemků v 90-ti denní lhůtě nepodepíše smlouvu, má se za to, že dohody nebylo možné dosáhnout.</w:t>
            </w:r>
            <w:r w:rsidR="004E35FB">
              <w:t xml:space="preserve"> Promítnutí shodné úpravy i do zákona o vyvlastnění by bylo žádoucí (diskuse s MMR)</w:t>
            </w:r>
          </w:p>
        </w:tc>
      </w:tr>
      <w:tr w:rsidR="00855F3D" w:rsidTr="004E35FB">
        <w:trPr>
          <w:trHeight w:val="413"/>
        </w:trPr>
        <w:tc>
          <w:tcPr>
            <w:tcW w:w="988" w:type="dxa"/>
          </w:tcPr>
          <w:p w:rsidR="00855F3D" w:rsidRDefault="004E35FB" w:rsidP="00855F3D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855F3D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>Dočištění textu nového § 2g</w:t>
            </w:r>
          </w:p>
          <w:p w:rsidR="004E35FB" w:rsidRPr="005F5F07" w:rsidRDefault="004E35FB" w:rsidP="00855F3D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71AE" w:rsidRPr="005F5F07" w:rsidDel="00E864A7" w:rsidRDefault="006A71AE" w:rsidP="004E35FB">
            <w:pPr>
              <w:jc w:val="both"/>
            </w:pPr>
            <w:r w:rsidRPr="005F5F07">
              <w:t>Dílčí legislativně-technické úpravy pro jednoznačnost výkladu.</w:t>
            </w:r>
          </w:p>
        </w:tc>
      </w:tr>
      <w:tr w:rsidR="00855F3D" w:rsidTr="005F5F07">
        <w:tc>
          <w:tcPr>
            <w:tcW w:w="988" w:type="dxa"/>
          </w:tcPr>
          <w:p w:rsidR="00855F3D" w:rsidRDefault="004E35FB" w:rsidP="00855F3D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>Dočištění textu nového § 2f</w:t>
            </w:r>
          </w:p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855F3D" w:rsidRPr="005F5F07" w:rsidDel="00E864A7" w:rsidRDefault="00855F3D" w:rsidP="00855F3D">
            <w:pPr>
              <w:jc w:val="both"/>
            </w:pPr>
            <w:r w:rsidRPr="005F5F07">
              <w:t>Dílčí legislativně-technické úpravy pro jednoznačnost výkladu.</w:t>
            </w:r>
          </w:p>
        </w:tc>
      </w:tr>
      <w:tr w:rsidR="00855F3D" w:rsidRPr="00522491" w:rsidTr="005F5F07">
        <w:tc>
          <w:tcPr>
            <w:tcW w:w="988" w:type="dxa"/>
          </w:tcPr>
          <w:p w:rsidR="00855F3D" w:rsidRPr="00355D21" w:rsidRDefault="004E35FB" w:rsidP="00855F3D">
            <w:pPr>
              <w:autoSpaceDE w:val="0"/>
              <w:autoSpaceDN w:val="0"/>
              <w:spacing w:before="120"/>
              <w:jc w:val="both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855F3D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  <w:r w:rsidRPr="005F5F07">
              <w:rPr>
                <w:b/>
                <w:color w:val="0070C0"/>
                <w:sz w:val="26"/>
                <w:szCs w:val="26"/>
              </w:rPr>
              <w:t>Působnost</w:t>
            </w:r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5F5F07">
              <w:rPr>
                <w:b/>
                <w:color w:val="0070C0"/>
                <w:sz w:val="26"/>
                <w:szCs w:val="26"/>
              </w:rPr>
              <w:t>stavebních úřadů</w:t>
            </w:r>
          </w:p>
          <w:p w:rsidR="00855F3D" w:rsidRPr="005F5F07" w:rsidRDefault="00855F3D" w:rsidP="00855F3D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6804" w:type="dxa"/>
          </w:tcPr>
          <w:p w:rsidR="00855F3D" w:rsidRPr="004E35FB" w:rsidRDefault="00855F3D" w:rsidP="00855F3D">
            <w:pPr>
              <w:pStyle w:val="Odstavecseseznamem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4E35FB">
              <w:rPr>
                <w:b/>
              </w:rPr>
              <w:t>MD preferovalo a dosud věcně preferuje variantu určených ORP pro vybrané stavby.</w:t>
            </w:r>
          </w:p>
          <w:p w:rsidR="00855F3D" w:rsidRPr="005F5F07" w:rsidRDefault="00855F3D" w:rsidP="00855F3D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5F5F07">
              <w:t xml:space="preserve">Usnesení vlády </w:t>
            </w:r>
            <w:r>
              <w:t xml:space="preserve">k návrhu zákona </w:t>
            </w:r>
            <w:r w:rsidRPr="005F5F07">
              <w:t xml:space="preserve">preferovalo, aby tuto činnost vykonával stavební úřad Ministerstva dopravy, který však pro výkon této činnosti </w:t>
            </w:r>
            <w:r>
              <w:t xml:space="preserve">(ať již v první, nebo druhé instanci správního řízení) </w:t>
            </w:r>
            <w:r w:rsidRPr="005F5F07">
              <w:t>není v rámci systemizace vybaven</w:t>
            </w:r>
            <w:r>
              <w:rPr>
                <w:rStyle w:val="Odkaznakoment"/>
              </w:rPr>
              <w:t xml:space="preserve">, </w:t>
            </w:r>
            <w:r w:rsidRPr="005F5F07">
              <w:t>nalezení schopných úředníků při stanovených platových ukazatelích je v</w:t>
            </w:r>
            <w:r>
              <w:t> dohledné době</w:t>
            </w:r>
            <w:r w:rsidRPr="005F5F07">
              <w:t xml:space="preserve"> velmi obtížné</w:t>
            </w:r>
            <w:r>
              <w:t xml:space="preserve"> a současně platí, že nejlépe jsou seznámeni s lokálními poměry v území zaměstnanci ORP, nikoli ústřední orgány státní správy</w:t>
            </w:r>
            <w:r w:rsidRPr="005F5F07">
              <w:t>.</w:t>
            </w:r>
          </w:p>
          <w:p w:rsidR="00855F3D" w:rsidRPr="005F5F07" w:rsidRDefault="00855F3D" w:rsidP="00855F3D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5F5F07">
              <w:t xml:space="preserve">V rámci připravovaných PN MD nedoporučuje rozšiřovat změnu působnosti i na vyvlastňovací procesy (toto už by si vyžádalo vyhodnocení dopadů regulace, hrozba </w:t>
            </w:r>
            <w:r>
              <w:t>výrazných prodlev</w:t>
            </w:r>
            <w:r w:rsidRPr="005F5F07">
              <w:t xml:space="preserve"> při tomto věcném posunu na určených vyvlastňovacích úřadech)</w:t>
            </w:r>
          </w:p>
        </w:tc>
      </w:tr>
    </w:tbl>
    <w:p w:rsidR="00491C0A" w:rsidRDefault="00491C0A" w:rsidP="005E1B3A"/>
    <w:p w:rsidR="004E35FB" w:rsidRPr="004E35FB" w:rsidRDefault="004E35FB" w:rsidP="004E35FB">
      <w:pPr>
        <w:jc w:val="both"/>
        <w:rPr>
          <w:b/>
          <w:color w:val="0070C0"/>
          <w:sz w:val="26"/>
          <w:szCs w:val="26"/>
        </w:rPr>
      </w:pPr>
      <w:r w:rsidRPr="004E35FB">
        <w:rPr>
          <w:b/>
          <w:color w:val="0070C0"/>
          <w:sz w:val="26"/>
          <w:szCs w:val="26"/>
        </w:rPr>
        <w:lastRenderedPageBreak/>
        <w:t>Usnadnění výstavby energetických sítí a sítí elektronických komunikací:</w:t>
      </w:r>
    </w:p>
    <w:p w:rsidR="004E35FB" w:rsidRPr="0037666B" w:rsidRDefault="004E35FB" w:rsidP="004E35FB">
      <w:pPr>
        <w:jc w:val="both"/>
      </w:pPr>
      <w:r w:rsidRPr="0037666B">
        <w:t>MD se primárně podílí na korektním zpracování PN zaměřeného na dopravní infrastrukturu.</w:t>
      </w:r>
    </w:p>
    <w:p w:rsidR="004E35FB" w:rsidRPr="0037666B" w:rsidRDefault="004E35FB" w:rsidP="004E35FB">
      <w:pPr>
        <w:jc w:val="both"/>
      </w:pPr>
      <w:r w:rsidRPr="0037666B">
        <w:t>Vhodný postup dle MD může být připravit komplexní PN pro dopravní infrastrukturu, do něj nechat MPO doplnit energetické sítě a elektronické komunikace (zajistit jinak věcně shodné PN)</w:t>
      </w:r>
    </w:p>
    <w:p w:rsidR="004E35FB" w:rsidRPr="005F5F07" w:rsidRDefault="004E35FB" w:rsidP="004E35FB">
      <w:pPr>
        <w:rPr>
          <w:b/>
          <w:color w:val="0070C0"/>
          <w:sz w:val="26"/>
          <w:szCs w:val="26"/>
        </w:rPr>
      </w:pPr>
      <w:r w:rsidRPr="0037666B">
        <w:t>Následně v rámci přípravy hlasovací procedury rozhodnout, o kterém PN hlasovat dříve (hlasovat PN včetně energetických sítí a elektronických komunikací, pokud by neprošlo hlas</w:t>
      </w:r>
      <w:r>
        <w:t>ovat „dopravní“ PN či obráceně?</w:t>
      </w:r>
    </w:p>
    <w:p w:rsidR="004E35FB" w:rsidRPr="005F5F07" w:rsidRDefault="004E35FB" w:rsidP="004E35FB">
      <w:pPr>
        <w:rPr>
          <w:b/>
          <w:color w:val="0070C0"/>
          <w:sz w:val="26"/>
          <w:szCs w:val="26"/>
        </w:rPr>
      </w:pPr>
    </w:p>
    <w:p w:rsidR="004E35FB" w:rsidRPr="00491C0A" w:rsidRDefault="004E35FB" w:rsidP="005E1B3A"/>
    <w:sectPr w:rsidR="004E35FB" w:rsidRPr="00491C0A" w:rsidSect="00697250">
      <w:headerReference w:type="default" r:id="rId8"/>
      <w:footerReference w:type="default" r:id="rId9"/>
      <w:pgSz w:w="16838" w:h="11906" w:orient="landscape"/>
      <w:pgMar w:top="1418" w:right="124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07" w:rsidRDefault="00BA5E07" w:rsidP="00F80A84">
      <w:pPr>
        <w:spacing w:after="0" w:line="240" w:lineRule="auto"/>
      </w:pPr>
      <w:r>
        <w:separator/>
      </w:r>
    </w:p>
  </w:endnote>
  <w:endnote w:type="continuationSeparator" w:id="0">
    <w:p w:rsidR="00BA5E07" w:rsidRDefault="00BA5E07" w:rsidP="00F8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84" w:rsidRDefault="00D23F10">
    <w:pPr>
      <w:pStyle w:val="Zpat"/>
    </w:pPr>
    <w:r>
      <w:t>Stav k</w:t>
    </w:r>
    <w:r w:rsidR="005F5F07">
      <w:t> </w:t>
    </w:r>
    <w:r w:rsidR="009D360E">
      <w:t>7</w:t>
    </w:r>
    <w:r w:rsidR="005F5F07">
      <w:t>.3</w:t>
    </w:r>
    <w:r w:rsidR="00F80A84">
      <w:t>.2018</w:t>
    </w:r>
    <w:r w:rsidR="005F5F07">
      <w:t xml:space="preserve"> </w:t>
    </w:r>
    <w:r w:rsidR="009D360E">
      <w:t>14</w:t>
    </w:r>
    <w:r w:rsidR="005F5F07">
      <w:t>:</w:t>
    </w:r>
    <w:r w:rsidR="009D360E">
      <w:t>1</w:t>
    </w:r>
    <w:r w:rsidR="005F5F07">
      <w:t>0, poslední revize Janeček Martin (Odbor strategie MD)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07" w:rsidRDefault="00BA5E07" w:rsidP="00F80A84">
      <w:pPr>
        <w:spacing w:after="0" w:line="240" w:lineRule="auto"/>
      </w:pPr>
      <w:r>
        <w:separator/>
      </w:r>
    </w:p>
  </w:footnote>
  <w:footnote w:type="continuationSeparator" w:id="0">
    <w:p w:rsidR="00BA5E07" w:rsidRDefault="00BA5E07" w:rsidP="00F8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82" w:rsidRPr="00697250" w:rsidRDefault="00FE646E">
    <w:pPr>
      <w:pStyle w:val="Zhlav"/>
    </w:pPr>
    <w:r w:rsidRPr="00697250">
      <w:t xml:space="preserve">Novelizace zákona </w:t>
    </w:r>
    <w:r w:rsidR="00697250" w:rsidRPr="00697250">
      <w:t xml:space="preserve">č. </w:t>
    </w:r>
    <w:r w:rsidRPr="00697250">
      <w:t>416</w:t>
    </w:r>
    <w:r w:rsidR="00F80A84" w:rsidRPr="00697250">
      <w:t xml:space="preserve">/2009 Sb. </w:t>
    </w:r>
    <w:r w:rsidR="00697250" w:rsidRPr="00697250">
      <w:t xml:space="preserve">(sněmovní tisk 76) </w:t>
    </w:r>
    <w:r w:rsidR="00085B92" w:rsidRPr="00697250">
      <w:t xml:space="preserve">– Seznam okruhu </w:t>
    </w:r>
    <w:r w:rsidR="00697250" w:rsidRPr="00697250">
      <w:t xml:space="preserve">rozpracovávaných </w:t>
    </w:r>
    <w:r w:rsidR="00085B92" w:rsidRPr="00697250">
      <w:t xml:space="preserve">témat </w:t>
    </w:r>
    <w:r w:rsidR="00697250" w:rsidRPr="00697250">
      <w:t>pro</w:t>
    </w:r>
    <w:r w:rsidR="00355D21" w:rsidRPr="00697250">
      <w:t xml:space="preserve"> </w:t>
    </w:r>
    <w:r w:rsidR="00085B92" w:rsidRPr="00697250">
      <w:t>pozměňovací</w:t>
    </w:r>
    <w:r w:rsidR="00697250" w:rsidRPr="00697250">
      <w:t xml:space="preserve"> návrhy (připraveno Ministerstvem dopravy)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CA6"/>
    <w:multiLevelType w:val="hybridMultilevel"/>
    <w:tmpl w:val="BEAC4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508"/>
    <w:multiLevelType w:val="hybridMultilevel"/>
    <w:tmpl w:val="9F92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5FC"/>
    <w:multiLevelType w:val="hybridMultilevel"/>
    <w:tmpl w:val="028897BC"/>
    <w:lvl w:ilvl="0" w:tplc="0A8C081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18DF"/>
    <w:multiLevelType w:val="hybridMultilevel"/>
    <w:tmpl w:val="F44A6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4F12"/>
    <w:multiLevelType w:val="hybridMultilevel"/>
    <w:tmpl w:val="B288BD32"/>
    <w:lvl w:ilvl="0" w:tplc="3ABCA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5CB2"/>
    <w:multiLevelType w:val="hybridMultilevel"/>
    <w:tmpl w:val="9F3AF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371B"/>
    <w:multiLevelType w:val="hybridMultilevel"/>
    <w:tmpl w:val="631C81FA"/>
    <w:lvl w:ilvl="0" w:tplc="23608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F349E"/>
    <w:multiLevelType w:val="hybridMultilevel"/>
    <w:tmpl w:val="41F49E20"/>
    <w:lvl w:ilvl="0" w:tplc="5B9E3BA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E115E"/>
    <w:multiLevelType w:val="hybridMultilevel"/>
    <w:tmpl w:val="931C0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327D4"/>
    <w:multiLevelType w:val="hybridMultilevel"/>
    <w:tmpl w:val="790EB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35D2A"/>
    <w:multiLevelType w:val="hybridMultilevel"/>
    <w:tmpl w:val="DD048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E7C37"/>
    <w:multiLevelType w:val="hybridMultilevel"/>
    <w:tmpl w:val="62306312"/>
    <w:lvl w:ilvl="0" w:tplc="3CE0C86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sLQ0NDMwsTA1NLRQ0lEKTi0uzszPAykwqQUA69sgfiwAAAA="/>
  </w:docVars>
  <w:rsids>
    <w:rsidRoot w:val="00EE6C50"/>
    <w:rsid w:val="00064B66"/>
    <w:rsid w:val="00085B92"/>
    <w:rsid w:val="0009316D"/>
    <w:rsid w:val="000A59D6"/>
    <w:rsid w:val="000B6810"/>
    <w:rsid w:val="000D308D"/>
    <w:rsid w:val="001315A2"/>
    <w:rsid w:val="0014525A"/>
    <w:rsid w:val="00174EC8"/>
    <w:rsid w:val="00193E85"/>
    <w:rsid w:val="001A0715"/>
    <w:rsid w:val="001B0DB9"/>
    <w:rsid w:val="001E3D76"/>
    <w:rsid w:val="00200DAF"/>
    <w:rsid w:val="00237292"/>
    <w:rsid w:val="00290A8E"/>
    <w:rsid w:val="002A2DBD"/>
    <w:rsid w:val="002A46F4"/>
    <w:rsid w:val="002E091A"/>
    <w:rsid w:val="002E7332"/>
    <w:rsid w:val="00355D21"/>
    <w:rsid w:val="0037666B"/>
    <w:rsid w:val="003919F7"/>
    <w:rsid w:val="003B0D55"/>
    <w:rsid w:val="003B7F05"/>
    <w:rsid w:val="003C2A35"/>
    <w:rsid w:val="003E020F"/>
    <w:rsid w:val="003F30FF"/>
    <w:rsid w:val="00413F1A"/>
    <w:rsid w:val="004604AF"/>
    <w:rsid w:val="004614BD"/>
    <w:rsid w:val="0048677D"/>
    <w:rsid w:val="00491C0A"/>
    <w:rsid w:val="004B6007"/>
    <w:rsid w:val="004B6D26"/>
    <w:rsid w:val="004E35FB"/>
    <w:rsid w:val="00522491"/>
    <w:rsid w:val="005327E7"/>
    <w:rsid w:val="00536146"/>
    <w:rsid w:val="00562682"/>
    <w:rsid w:val="00584B33"/>
    <w:rsid w:val="00591D77"/>
    <w:rsid w:val="00596548"/>
    <w:rsid w:val="005A0C06"/>
    <w:rsid w:val="005C15B0"/>
    <w:rsid w:val="005E1B3A"/>
    <w:rsid w:val="005F5F07"/>
    <w:rsid w:val="005F6644"/>
    <w:rsid w:val="00602B50"/>
    <w:rsid w:val="00612C1A"/>
    <w:rsid w:val="0062375F"/>
    <w:rsid w:val="00653D3A"/>
    <w:rsid w:val="00662152"/>
    <w:rsid w:val="00674822"/>
    <w:rsid w:val="0068236F"/>
    <w:rsid w:val="00694682"/>
    <w:rsid w:val="00697250"/>
    <w:rsid w:val="006A71AE"/>
    <w:rsid w:val="006C014C"/>
    <w:rsid w:val="006D21BD"/>
    <w:rsid w:val="00705222"/>
    <w:rsid w:val="00705874"/>
    <w:rsid w:val="00707AF3"/>
    <w:rsid w:val="00730CFA"/>
    <w:rsid w:val="00752078"/>
    <w:rsid w:val="00783E4F"/>
    <w:rsid w:val="00784056"/>
    <w:rsid w:val="007A5A07"/>
    <w:rsid w:val="007A668E"/>
    <w:rsid w:val="007C1E03"/>
    <w:rsid w:val="007E5669"/>
    <w:rsid w:val="00855F3D"/>
    <w:rsid w:val="00885647"/>
    <w:rsid w:val="008C03AE"/>
    <w:rsid w:val="008D6694"/>
    <w:rsid w:val="008F528A"/>
    <w:rsid w:val="009047B5"/>
    <w:rsid w:val="00920431"/>
    <w:rsid w:val="00944BAF"/>
    <w:rsid w:val="009566CF"/>
    <w:rsid w:val="0099043A"/>
    <w:rsid w:val="009A62AD"/>
    <w:rsid w:val="009A6BA5"/>
    <w:rsid w:val="009C3D4F"/>
    <w:rsid w:val="009D360E"/>
    <w:rsid w:val="00A66BE6"/>
    <w:rsid w:val="00A80B87"/>
    <w:rsid w:val="00A8134B"/>
    <w:rsid w:val="00A96D22"/>
    <w:rsid w:val="00AC0C21"/>
    <w:rsid w:val="00AC593E"/>
    <w:rsid w:val="00B35A22"/>
    <w:rsid w:val="00BA5E07"/>
    <w:rsid w:val="00BD7A8B"/>
    <w:rsid w:val="00C006C5"/>
    <w:rsid w:val="00C030E2"/>
    <w:rsid w:val="00C21368"/>
    <w:rsid w:val="00C3511E"/>
    <w:rsid w:val="00C452EE"/>
    <w:rsid w:val="00C53483"/>
    <w:rsid w:val="00C72781"/>
    <w:rsid w:val="00C76051"/>
    <w:rsid w:val="00CA342A"/>
    <w:rsid w:val="00CA6353"/>
    <w:rsid w:val="00CC3866"/>
    <w:rsid w:val="00CE5ED2"/>
    <w:rsid w:val="00CF6470"/>
    <w:rsid w:val="00D019FA"/>
    <w:rsid w:val="00D1676E"/>
    <w:rsid w:val="00D23F10"/>
    <w:rsid w:val="00D24958"/>
    <w:rsid w:val="00D555F6"/>
    <w:rsid w:val="00D769FA"/>
    <w:rsid w:val="00D77608"/>
    <w:rsid w:val="00D95801"/>
    <w:rsid w:val="00DC177A"/>
    <w:rsid w:val="00DD7F11"/>
    <w:rsid w:val="00DF6353"/>
    <w:rsid w:val="00E23681"/>
    <w:rsid w:val="00E63655"/>
    <w:rsid w:val="00E864A7"/>
    <w:rsid w:val="00EE6C50"/>
    <w:rsid w:val="00F31BF0"/>
    <w:rsid w:val="00F737DC"/>
    <w:rsid w:val="00F76495"/>
    <w:rsid w:val="00F80A84"/>
    <w:rsid w:val="00F85617"/>
    <w:rsid w:val="00FA68A9"/>
    <w:rsid w:val="00FE1B8A"/>
    <w:rsid w:val="00FE646E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94BC56-BA82-44A1-9DF0-6BE5CD7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91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C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C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91C0A"/>
    <w:pPr>
      <w:ind w:left="720"/>
      <w:contextualSpacing/>
    </w:pPr>
  </w:style>
  <w:style w:type="table" w:styleId="Mkatabulky">
    <w:name w:val="Table Grid"/>
    <w:basedOn w:val="Normlntabulka"/>
    <w:uiPriority w:val="39"/>
    <w:rsid w:val="0014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0A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A84"/>
  </w:style>
  <w:style w:type="paragraph" w:styleId="Zpat">
    <w:name w:val="footer"/>
    <w:basedOn w:val="Normln"/>
    <w:link w:val="ZpatChar"/>
    <w:uiPriority w:val="99"/>
    <w:unhideWhenUsed/>
    <w:rsid w:val="00F80A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A84"/>
  </w:style>
  <w:style w:type="character" w:styleId="Hypertextovodkaz">
    <w:name w:val="Hyperlink"/>
    <w:basedOn w:val="Standardnpsmoodstavce"/>
    <w:uiPriority w:val="99"/>
    <w:semiHidden/>
    <w:unhideWhenUsed/>
    <w:rsid w:val="002A2DBD"/>
    <w:rPr>
      <w:color w:val="0563C1"/>
      <w:u w:val="single"/>
    </w:rPr>
  </w:style>
  <w:style w:type="character" w:styleId="Nzevknihy">
    <w:name w:val="Book Title"/>
    <w:basedOn w:val="Standardnpsmoodstavce"/>
    <w:uiPriority w:val="33"/>
    <w:qFormat/>
    <w:rsid w:val="004604AF"/>
    <w:rPr>
      <w:b/>
      <w:bCs/>
      <w:smallCaps/>
      <w:spacing w:val="5"/>
    </w:rPr>
  </w:style>
  <w:style w:type="paragraph" w:customStyle="1" w:styleId="xl3">
    <w:name w:val="x_l3"/>
    <w:basedOn w:val="Normln"/>
    <w:rsid w:val="00CF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F6470"/>
  </w:style>
  <w:style w:type="paragraph" w:styleId="Revize">
    <w:name w:val="Revision"/>
    <w:hidden/>
    <w:uiPriority w:val="99"/>
    <w:semiHidden/>
    <w:rsid w:val="005A0C0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35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35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B793-296C-D649-B754-07862801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Janeček Martin Ing.</dc:creator>
  <cp:keywords/>
  <dc:description/>
  <cp:lastModifiedBy>Uživatel Microsoft Office</cp:lastModifiedBy>
  <cp:revision>2</cp:revision>
  <cp:lastPrinted>2018-02-06T13:18:00Z</cp:lastPrinted>
  <dcterms:created xsi:type="dcterms:W3CDTF">2018-03-07T17:22:00Z</dcterms:created>
  <dcterms:modified xsi:type="dcterms:W3CDTF">2018-03-07T17:22:00Z</dcterms:modified>
</cp:coreProperties>
</file>